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mc:Ignorable="wp14 w14 w15">
  <w:background w:color="FFFFFF"/>
  <w:body>
    <w:tbl>
      <w:tblPr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315"/>
        </w:trPr>
        <w:tc>
          <w:tcPr>
            <w:tcW w:w="570" w:type="dxa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365760" cy="3657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5655" w:type="dxa"/>
            <w:gridSpan w:val="2"/>
            <w:vAlign w:val="center"/>
          </w:tcPr>
          <w:p>
            <w:pPr>
              <w:ind w:left="28" w:right="28"/>
              <w:rPr>
                <w:rFonts w:ascii="Tahoma" w:hAnsi="Tahoma" w:cs="Tahoma"/>
                <w:b w:val="1"/>
                <w:color w:val="000000"/>
              </w:rPr>
            </w:pPr>
            <w:r>
              <w:rPr>
                <w:rFonts w:ascii="Tahoma" w:hAnsi="Tahoma" w:cs="Tahoma"/>
                <w:b w:val="1"/>
                <w:color w:val="000000"/>
              </w:rPr>
              <w:t>COMUNE DI LAGO</w:t>
            </w:r>
          </w:p>
        </w:tc>
        <w:tc>
          <w:tcPr>
            <w:tcW w:w="15" w:type="dxa"/>
          </w:tcPr>
          <w:p>
            <w:pPr>
              <w:rPr>
                <w:sz w:val="1"/>
              </w:rPr>
            </w:pPr>
          </w:p>
        </w:tc>
        <w:tc>
          <w:tcPr>
            <w:tcW w:w="4575" w:type="dxa"/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CONTO DEL BILANCIO 2022</w:t>
            </w:r>
          </w:p>
        </w:tc>
        <w:tc>
          <w:tcPr>
            <w:tcW w:w="1425" w:type="dxa"/>
          </w:tcPr>
          <w:p>
            <w:pPr>
              <w:rPr>
                <w:sz w:val="1"/>
              </w:rPr>
            </w:pPr>
          </w:p>
        </w:tc>
        <w:tc>
          <w:tcPr>
            <w:tcW w:w="1440" w:type="dxa"/>
            <w:gridSpan w:val="2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22/05/2023</w:t>
            </w:r>
          </w:p>
        </w:tc>
        <w:tc>
          <w:tcPr>
            <w:tcW w:w="525" w:type="dxa"/>
            <w:gridSpan w:val="3"/>
          </w:tcPr>
          <w:p>
            <w:pPr>
              <w:rPr>
                <w:sz w:val="1"/>
              </w:rPr>
            </w:pPr>
          </w:p>
        </w:tc>
        <w:tc>
          <w:tcPr>
            <w:tcW w:w="1725" w:type="dxa"/>
            <w:gridSpan w:val="2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Pagina 1 di 3</w:t>
            </w:r>
          </w:p>
        </w:tc>
      </w:tr>
      <w:tr>
        <w:trPr>
          <w:trHeight w:hRule="atLeast" w:val="255"/>
        </w:trPr>
        <w:tc>
          <w:tcPr>
            <w:tcW w:w="57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1620" w:type="dxa"/>
          </w:tcPr>
          <w:p>
            <w:pPr>
              <w:rPr>
                <w:sz w:val="1"/>
              </w:rPr>
            </w:pPr>
          </w:p>
        </w:tc>
        <w:tc>
          <w:tcPr>
            <w:tcW w:w="12795" w:type="dxa"/>
            <w:gridSpan w:val="10"/>
            <w:vMerge w:val="restart"/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b w:val="1"/>
                <w:color w:val="4682B4"/>
                <w:sz w:val="19"/>
              </w:rPr>
            </w:pPr>
            <w:r>
              <w:rPr>
                <w:rFonts w:ascii="Tahoma" w:hAnsi="Tahoma" w:cs="Tahoma"/>
                <w:b w:val="1"/>
                <w:color w:val="4682B4"/>
                <w:sz w:val="19"/>
              </w:rPr>
              <w:t>VERIFICA EQUILIBRI</w:t>
            </w:r>
          </w:p>
        </w:tc>
        <w:tc>
          <w:tcPr>
            <w:tcW w:w="945" w:type="dxa"/>
          </w:tcPr>
          <w:p>
            <w:pPr>
              <w:rPr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570" w:type="dxa"/>
          </w:tcPr>
          <w:p>
            <w:pPr>
              <w:rPr>
                <w:sz w:val="1"/>
              </w:rPr>
            </w:pP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1620" w:type="dxa"/>
          </w:tcPr>
          <w:p>
            <w:pPr>
              <w:rPr>
                <w:sz w:val="1"/>
              </w:rPr>
            </w:pPr>
          </w:p>
        </w:tc>
        <w:tc>
          <w:tcPr>
            <w:tcW w:w="12795" w:type="dxa"/>
            <w:gridSpan w:val="10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945" w:type="dxa"/>
          </w:tcPr>
          <w:p>
            <w:pPr>
              <w:rPr>
                <w:sz w:val="1"/>
              </w:rPr>
            </w:pPr>
          </w:p>
        </w:tc>
      </w:tr>
      <w:tr>
        <w:trPr>
          <w:trHeight w:hRule="exact" w:val="90"/>
        </w:trPr>
        <w:tc>
          <w:tcPr>
            <w:tcW w:w="14190" w:type="dxa"/>
            <w:gridSpan w:val="10"/>
          </w:tcPr>
          <w:p>
            <w:pPr>
              <w:rPr>
                <w:sz w:val="1"/>
              </w:rPr>
            </w:pPr>
          </w:p>
        </w:tc>
        <w:tc>
          <w:tcPr>
            <w:tcW w:w="1920" w:type="dxa"/>
            <w:gridSpan w:val="4"/>
          </w:tcPr>
          <w:p>
            <w:pPr>
              <w:rPr>
                <w:sz w:val="1"/>
              </w:rPr>
            </w:pPr>
          </w:p>
        </w:tc>
      </w:tr>
      <w:tr>
        <w:trPr>
          <w:trHeight w:hRule="atLeast" w:val="690"/>
        </w:trPr>
        <w:tc>
          <w:tcPr>
            <w:tcW w:w="14190" w:type="dxa"/>
            <w:gridSpan w:val="10"/>
            <w:tcBorders>
              <w:top w:val="double" w:sz="6" w:space="0" w:shadow="0" w:frame="0" w:color="000000"/>
              <w:left w:val="double" w:sz="6" w:space="0" w:shadow="0" w:frame="0" w:color="000000"/>
              <w:bottom w:val="double" w:sz="6" w:space="0" w:shadow="0" w:frame="0" w:color="000000"/>
              <w:right w:val="double" w:sz="6" w:space="0" w:shadow="0" w:frame="0" w:color="000000"/>
            </w:tcBorders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b w:val="1"/>
                <w:color w:val="000000"/>
                <w:sz w:val="18"/>
              </w:rPr>
            </w:pPr>
            <w:r>
              <w:rPr>
                <w:rFonts w:ascii="Tahoma" w:hAnsi="Tahoma" w:cs="Tahoma"/>
                <w:b w:val="1"/>
                <w:color w:val="000000"/>
                <w:sz w:val="18"/>
              </w:rPr>
              <w:t>EQUILIBRIO ECONOMICO - FINANZIARIO</w:t>
            </w:r>
          </w:p>
        </w:tc>
        <w:tc>
          <w:tcPr>
            <w:tcW w:w="1920" w:type="dxa"/>
            <w:gridSpan w:val="4"/>
            <w:tcBorders>
              <w:top w:val="double" w:sz="6" w:space="0" w:shadow="0" w:frame="0" w:color="000000"/>
              <w:bottom w:val="double" w:sz="6" w:space="0" w:shadow="0" w:frame="0" w:color="000000"/>
              <w:right w:val="double" w:sz="6" w:space="0" w:shadow="0" w:frame="0" w:color="000000"/>
            </w:tcBorders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COMPETENZA </w:t>
              <w:br w:type="textWrapping"/>
              <w:t xml:space="preserve">(ACCERTAMENTI E IMPEGNI </w:t>
              <w:br w:type="textWrapping"/>
              <w:t>IMPUTATI ALL'ESERCIZIO)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A) Fondo pluriennale vincolato per spese correnti iscritto in entrata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15.518,82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AA) Recupero disavanzo di amministrazione esercizio precedente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227.290,87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B) Entrate Titoli 1.00 - 2.00 - 3.00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2.511.553,30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di cui per estinzione anticipata di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C) Entrate Titolo 4.02.06 - Contributi agli investimenti direttamente destinati al rimborso dei prestiti da amministrazioni pubbliche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D) Spese Titolo 1.00 -  Spese correnti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2.051.007,30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di cui spese correnti non ricorrenti finanziate con utilizzo del risultato di amministrazione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D1)  Fondo pluriennale vincolato di parte corrente (di spesa)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21.539,25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E) Spese Titolo 2.04 -  Altri trasferimenti in conto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E1) Fondo pluriennale vincolato di spesa - titolo 2.04  Altri trasferimenti in conto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F1) Spese Titolo 4.00 -  Quote di capitale amm.to dei mutui e prestiti obbligazionari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117.529,76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di cui per estinzione anticipata di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F2) Fondo anticipazioni di liquidità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 xml:space="preserve"> G) Somma finale (G=A-AA+B+C-D-D1-D2-E-E1-F1-F2)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109.704,94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H) Utilizzo avanzo di amministrazione per spese correnti e per rimborso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95.179,78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di cui per estinzione anticipata di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I) Entrate di parte capitale destinate a spese correnti in base a specifiche disposizioni di legge o  dei principi contabili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153.508,62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di cui per estinzione anticipata di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L) Entrate di parte corrente destinate a spese di investimento in base a specifiche disposizioni di legge o dei principi contabili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M) Entrate da accensione di prestiti destinate a estinzione anticipata dei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 xml:space="preserve">O1) RISULTATO DI COMPETENZA DI PARTE CORRENTE  ( O1=G+H+I-L+M)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358.393,34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accantonate di parte corrente stanziate nel bilancio dell'esercizio N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22.439,65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vincolate di parte corrente nel bilancio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68.628,18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O2) EQUILIBRIO DI BILANCIO DI PARTE CORRENTE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267.325,51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Variazione accantonamenti di parte corrente effettuata in sede di rendiconto (+/-)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-216.802,97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O3) EQUILIBRIO COMPLESSIVO DI PARTE CORRENTE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484.128,48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P) Utilizzo avanzo di amministrazione per spese di investimento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Q) Fondo pluriennale vincolato per spese in conto capitale iscritto in entrata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1.527.977,50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R) Entrate Titoli 4.00-5.00-6.00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2.956.217,98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C) Entrate Titolo 4.02.06 - Contributi agli investimenti direttamente destinati al rimborso dei prestiti da amministrazioni pubbliche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I) Entrate di parte capitale destinate a spese correnti in base a specifiche disposizioni di legge o  dei principi contabili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153.508,62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S1) Entrate Titolo 5.02 per Riscossione crediti di breve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S2) Entrate Titolo 5.03 per Riscossione crediti di medio-lungo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T) Entrate Titolo 5.04 relative a Altre entrate per riduzioni di attività  finanziaria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L) Entrate di parte corrente destinate a spese di investimento in base a specifiche disposizioni di legge o dei principi contabili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M) Entrate da accensione di prestiti destinate a estinzione anticipata dei prestiti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U) Spese Titolo 2.00 - Spese in conto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1.338.868,19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U1)  Fondo pluriennale vincolato in c/capitale (di spesa)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2.991.818,67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V) Spese Titolo 3.01 per Acquisizioni di attività  finanziarie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E) Spese Titolo 2.04 -  Altri trasferimenti in conto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E1) Fondo pluriennale vincolato di spesa - titolo 2.04  Altri trasferimenti in conto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 xml:space="preserve">Z1) RISULTATO DI COMPETENZA IN C/CAPITALE  (Z1=P+Q+R-C-I-S1-S2-T+L-M-U-U1-U2-V+E+E1)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- Risorse accantonate  in c/capitale stanziate nel bilancio dell'esercizio N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vincolate in c/capitale nel bilancio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Z/2) EQUILIBRIO DI BILANCIO IN C/CAPITALE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Variazione accantonamenti in c/capitale effettuata in sede di rendiconto (+/-)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Z3) EQUILIBRIO COMPLESSIVO IN CAPITALE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S1) Entrate Titolo 5.02 per Riscossione crediti di breve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S2) Entrate Titolo 5.03 per Riscossione crediti di medio-lungo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T) Entrate Titolo 5.04 relative a Altre entrate per riduzioni di attività  finanziaria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X1) Spese Titolo 3.02 per Concessione crediti di breve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X2) Spese Titolo 3.03 per Concessione crediti di medio-lungo termine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Y) Spese Titolo 3.04 per Altre spese per acquisizioni di attività  finanziarie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 xml:space="preserve">W1) RISULTATO DI COMPETENZA           (W/1 = O1+Z1+S1+S2+T-X1-X2-Y)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358.393,34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accantonate stanziate nel bilancio dell'esercizio N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22.439,65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vincolate nel bilancio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68.628,18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W2/EQUILIBRIO DI BILANCIO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267.325,51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Variazione accantonamenti effettuata in sede di rendiconto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-216.802,97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W3/EQUILIBRIO COMPLESSIVO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484.128,48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O1) Risultato di competenza di parte corrente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358.393,34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shd w:val="clear" w:color="auto" w:fill="DCDCDC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Utilizzo risultato di amministrazione per il finanziamento di spese correnti ricorrenti e al rimborso di prestiti al netto del Fondo anticipazione di liquidità (H)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DCDCDC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shd w:val="clear" w:color="auto" w:fill="DCDCDC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95.179,78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Entrate non ricorrenti che non hanno dato copertura a impegni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accantonate di parte corrente stanziate nel bilancio dell'esercizio N (1)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22.439,65</w:t>
            </w:r>
          </w:p>
        </w:tc>
      </w:tr>
      <w:tr>
        <w:trPr>
          <w:trHeight w:hRule="atLeast" w:val="300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Variazione accantonamenti di parte corrente effettuata in sede di rendiconto (+/-) (2)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-216.802,97</w:t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- Risorse vincolate di parte corrente nel bilancio (3)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68.628,18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10229850" cy="190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0" cy="19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85"/>
        </w:trPr>
        <w:tc>
          <w:tcPr>
            <w:tcW w:w="13665" w:type="dxa"/>
            <w:gridSpan w:val="8"/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Equilibrio di parte corrente ai fini della copertura degli investimenti pluriennali</w:t>
            </w:r>
          </w:p>
        </w:tc>
        <w:tc>
          <w:tcPr>
            <w:tcW w:w="540" w:type="dxa"/>
            <w:gridSpan w:val="3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b w:val="1"/>
                <w:color w:val="000000"/>
                <w:sz w:val="16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388.948,70</w:t>
            </w:r>
          </w:p>
        </w:tc>
      </w:tr>
      <w:tr>
        <w:trPr>
          <w:trHeight w:hRule="exact" w:val="30"/>
        </w:trPr>
        <w:tc>
          <w:tcPr>
            <w:tcW w:w="16110" w:type="dxa"/>
            <w:gridSpan w:val="14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150"/>
        </w:trPr>
        <w:tc>
          <w:tcPr>
            <w:tcW w:w="16110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A) Indicare l'importo  iscritto in entrata del  conto del bilancio alla corrispondente voce riguardante il fondo pluriennale vincolato.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C) Si tratta delle entrate in conto capitale relative ai soli contributi agli investimenti destinati al rimborso prestiti corrispondenti alla voce del piano dei conti finanziario con codifica E.4.02.06.00.000.</w:t>
            </w:r>
          </w:p>
        </w:tc>
      </w:tr>
      <w:tr>
        <w:trPr>
          <w:trHeight w:hRule="atLeast" w:val="22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D1) Indicare l'importo complessivo delle voci relative al corrispondente  fondo pluriennale vincolato risultante in spesa del conto del bilancio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E) Si tratta delle spese del titolo 2 per trasferimenti in conto capitale corrispondenti alla voce del piano dei conti finanziario con codifica U.2.04.00.00.000.</w:t>
            </w:r>
          </w:p>
        </w:tc>
      </w:tr>
      <w:tr>
        <w:trPr>
          <w:trHeight w:hRule="atLeast" w:val="22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Q) Indicare l'importo  iscritto in entrata del  conto del bilancio alla corrispondente voce riguardante il fondo pluriennale vincolato.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S1) Si tratta delle entrate del titolo 5 limitatamente alle riscossione crediti di breve termine corrispondenti alla voce del piano dei conti finanziario con codifica E.5.02.00.00.000.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S2) Si tratta delle entrate del titolo 5 limitatamente alle riscossione crediti di medio-lungo termine corrispondenti alla voce del piano dei conti finanziario con codifica E.5.03.00.00.000.</w:t>
            </w:r>
          </w:p>
        </w:tc>
      </w:tr>
      <w:tr>
        <w:trPr>
          <w:trHeight w:hRule="atLeast" w:val="22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T) Si tratta delle entrate del titolo 5 limitatamente alle altre entrate per riduzione di attività finanziarie corrispondenti alla voce del piano dei conti finanziario con codifica E.5.04.00.00.000.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U1) Indicare l'importo complessivo delle voci relative al corrispondente  fondo pluriennale vincolato risultante in spesa del conto del bilancio</w:t>
            </w:r>
          </w:p>
        </w:tc>
      </w:tr>
      <w:tr>
        <w:trPr>
          <w:trHeight w:hRule="atLeast" w:val="22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X1) Si tratta delle spese del titolo 3 limitatamente alle concessione crediti di breve termine corrispondenti alla voce del piano dei conti finanziario con codifica U.3.02.00.00.000.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X2) Si tratta delle spese del titolo 3 limitatamente alle concessione crediti di medio-lungo termine corrispondenti alla voce del piano dei conti finanziario con codifica U.3.03.00.00.000.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Y) Si tratta delle spese del titolo 3 limitatamente alle altre spese per incremento di attività finanziarie corrispondenti alla voce del piano dei conti finanziario con codifica U.3.04.00.00.000.</w:t>
            </w:r>
          </w:p>
        </w:tc>
      </w:tr>
      <w:tr>
        <w:trPr>
          <w:trHeight w:hRule="atLeast" w:val="37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(1) Inserire la quota corrente del  totale della colonna c) dell'allegato a/1 "Elenco analitico delle risorse accantonate nel risultato di amministrazione" al netto  dell'accantonamento al fondo anticipazioni di liquidità, già considerato ai fini della determinazione del saldo di parte corrente.</w:t>
            </w:r>
          </w:p>
        </w:tc>
      </w:tr>
      <w:tr>
        <w:trPr>
          <w:trHeight w:hRule="atLeast" w:val="210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>(2) Inserire la quota corrente del l totale della colonna d) dell'allegato a/1 "Elenco analitico delle risorse accantonate nel risultato di amministrazione"al netto dell'accantonamento al Fondo anticipazioni di liquidità, già considerato ai fini della determinazione .</w:t>
            </w:r>
          </w:p>
        </w:tc>
      </w:tr>
      <w:tr>
        <w:trPr>
          <w:trHeight w:hRule="atLeast" w:val="375"/>
        </w:trPr>
        <w:tc>
          <w:tcPr>
            <w:tcW w:w="16110" w:type="dxa"/>
            <w:gridSpan w:val="14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4"/>
              </w:rPr>
            </w:pPr>
            <w:r>
              <w:rPr>
                <w:rFonts w:ascii="Tahoma" w:hAnsi="Tahoma" w:cs="Tahoma"/>
                <w:color w:val="000000"/>
                <w:sz w:val="14"/>
              </w:rPr>
              <w:t xml:space="preserve">(3) Inserire l'importo della quota corrente della prima colonna della  riga n) dell'allegato a/2  "Elenco analitico delle risorse vincolate nel risultato di amministrazione" al netto delle quote correnti vincolate al 31/12 finanziate dal risultato di amministrazione iniziale.</w:t>
            </w:r>
          </w:p>
        </w:tc>
      </w:tr>
    </w:tbl>
    <w:p/>
    <w:sectPr>
      <w:type w:val="nextPage"/>
      <w:pgSz w:w="16833" w:h="11908" w:code="0" w:orient="landscape"/>
      <w:pgMar w:left="360" w:right="360" w:top="360" w:bottom="360" w:header="708" w:footer="708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oNotShadeFormData/>
  <w:defaultTabStop w:val="720"/>
  <w:autoHyphenation w:val="0"/>
  <w:evenAndOddHeaders w:val="0"/>
  <w:compat>
    <w:alignTablesRowByRow/>
    <w:doNotExpandShiftReturn/>
    <w:splitPgBreakAndParaMark/>
    <w:underlineTabInNumList/>
    <w:doNotBreakWrappedTables/>
    <w:footnoteLayoutLikeWW8/>
    <w:shapeLayoutLikeWW8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2023-05-22T11:10:18Z</dcterms:created>
  <cp:revision>1</cp:revision>
</cp:coreProperties>
</file>